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20" w:line="240" w:lineRule="auto"/>
        <w:ind w:left="2520" w:right="0" w:hanging="252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 xml:space="preserve">Статья </w:t>
      </w:r>
      <w:r>
        <w:rPr>
          <w:rFonts w:ascii="Times New Roman" w:hAnsi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 xml:space="preserve">9.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>Обязательность принятия обращения к рассмотрению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Обращение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поступившее в государственный орган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 местного самоуправления или должностному лицу в соответствии с их компетенцией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подлежит обязательному рассмотрению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tl w:val="0"/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2.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В случае необходимости рассматривающие обращение государственный орган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 местного самоуправления или должностное лицо может обеспечить его рассмотрение с выездом на место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